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07" w:rsidRDefault="006F6D07" w:rsidP="006F6D07">
      <w:pPr>
        <w:ind w:right="446"/>
        <w:jc w:val="center"/>
      </w:pPr>
      <w:r w:rsidRPr="00BF2BB2">
        <w:rPr>
          <w:noProof/>
        </w:rPr>
        <w:drawing>
          <wp:inline distT="0" distB="0" distL="0" distR="0">
            <wp:extent cx="11525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F6D07" w:rsidRDefault="006F6D07" w:rsidP="006F6D07">
      <w:pPr>
        <w:ind w:right="496"/>
        <w:jc w:val="center"/>
      </w:pPr>
      <w:r>
        <w:rPr>
          <w:sz w:val="30"/>
        </w:rPr>
        <w:t xml:space="preserve">JOB DESCRIPTION </w:t>
      </w:r>
    </w:p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1"/>
        <w:gridCol w:w="6201"/>
      </w:tblGrid>
      <w:tr w:rsidR="006F6D07" w:rsidTr="000F53B4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</w:p>
        </w:tc>
      </w:tr>
      <w:tr w:rsidR="006F6D07" w:rsidTr="000F53B4">
        <w:trPr>
          <w:trHeight w:val="5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tabs>
                <w:tab w:val="center" w:pos="720"/>
                <w:tab w:val="center" w:pos="1440"/>
              </w:tabs>
              <w:rPr>
                <w:rFonts w:eastAsia="Yu Mincho"/>
              </w:rPr>
            </w:pPr>
            <w:r w:rsidRPr="00297860">
              <w:rPr>
                <w:rFonts w:eastAsia="Yu Mincho"/>
                <w:b/>
              </w:rPr>
              <w:t xml:space="preserve">Post: </w:t>
            </w:r>
            <w:r w:rsidRPr="00297860">
              <w:rPr>
                <w:rFonts w:eastAsia="Yu Mincho"/>
                <w:b/>
              </w:rPr>
              <w:tab/>
              <w:t xml:space="preserve"> </w:t>
            </w:r>
            <w:r w:rsidRPr="00297860">
              <w:rPr>
                <w:rFonts w:eastAsia="Yu Mincho"/>
                <w:b/>
              </w:rPr>
              <w:tab/>
              <w:t xml:space="preserve"> </w:t>
            </w:r>
          </w:p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  <w:b/>
              </w:rPr>
              <w:t xml:space="preserve">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  <w:color w:val="FF0000"/>
              </w:rPr>
            </w:pPr>
            <w:r>
              <w:rPr>
                <w:rFonts w:eastAsia="Yu Mincho"/>
              </w:rPr>
              <w:t>Co SEND-CO</w:t>
            </w:r>
            <w:r w:rsidR="008B4A8A">
              <w:rPr>
                <w:rFonts w:eastAsia="Yu Mincho"/>
              </w:rPr>
              <w:t xml:space="preserve">- Pastoral </w:t>
            </w:r>
            <w:bookmarkStart w:id="0" w:name="_GoBack"/>
            <w:bookmarkEnd w:id="0"/>
          </w:p>
          <w:p w:rsidR="006F6D07" w:rsidRPr="00297860" w:rsidRDefault="006F6D07" w:rsidP="000F53B4">
            <w:pPr>
              <w:rPr>
                <w:rFonts w:eastAsia="Yu Mincho"/>
              </w:rPr>
            </w:pPr>
          </w:p>
        </w:tc>
      </w:tr>
      <w:tr w:rsidR="006F6D07" w:rsidTr="000F53B4">
        <w:trPr>
          <w:trHeight w:val="5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tabs>
                <w:tab w:val="center" w:pos="1440"/>
              </w:tabs>
              <w:rPr>
                <w:rFonts w:eastAsia="Yu Mincho"/>
              </w:rPr>
            </w:pPr>
            <w:r w:rsidRPr="00297860">
              <w:rPr>
                <w:rFonts w:eastAsia="Yu Mincho"/>
                <w:b/>
              </w:rPr>
              <w:t>Reports to:</w:t>
            </w:r>
            <w:r w:rsidRPr="00297860">
              <w:rPr>
                <w:rFonts w:eastAsia="Yu Mincho"/>
              </w:rPr>
              <w:t xml:space="preserve"> </w:t>
            </w:r>
            <w:r w:rsidRPr="00297860">
              <w:rPr>
                <w:rFonts w:eastAsia="Yu Mincho"/>
              </w:rPr>
              <w:tab/>
              <w:t xml:space="preserve"> </w:t>
            </w:r>
          </w:p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>
              <w:rPr>
                <w:rFonts w:eastAsia="Yu Mincho"/>
              </w:rPr>
              <w:t>SEND-CO</w:t>
            </w:r>
          </w:p>
        </w:tc>
      </w:tr>
      <w:tr w:rsidR="006F6D07" w:rsidTr="000F53B4">
        <w:trPr>
          <w:trHeight w:val="58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tabs>
                <w:tab w:val="center" w:pos="1440"/>
              </w:tabs>
              <w:rPr>
                <w:rFonts w:eastAsia="Yu Mincho"/>
              </w:rPr>
            </w:pPr>
            <w:r w:rsidRPr="00297860">
              <w:rPr>
                <w:rFonts w:eastAsia="Yu Mincho"/>
                <w:b/>
              </w:rPr>
              <w:t xml:space="preserve">Grade: </w:t>
            </w:r>
            <w:r w:rsidRPr="00297860">
              <w:rPr>
                <w:rFonts w:eastAsia="Yu Mincho"/>
              </w:rPr>
              <w:t xml:space="preserve"> </w:t>
            </w:r>
            <w:r w:rsidRPr="00297860">
              <w:rPr>
                <w:rFonts w:eastAsia="Yu Mincho"/>
              </w:rPr>
              <w:tab/>
              <w:t xml:space="preserve"> </w:t>
            </w:r>
          </w:p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  <w:b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>
              <w:rPr>
                <w:rFonts w:eastAsia="Yu Mincho"/>
              </w:rPr>
              <w:t>Point 26</w:t>
            </w:r>
          </w:p>
        </w:tc>
      </w:tr>
      <w:tr w:rsidR="006F6D07" w:rsidTr="000F53B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  <w:b/>
              </w:rPr>
              <w:t>Contract duration:</w:t>
            </w: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>Permanent</w:t>
            </w:r>
            <w:r w:rsidR="00112918">
              <w:rPr>
                <w:rFonts w:eastAsia="Yu Mincho"/>
              </w:rPr>
              <w:t>, term-time only</w:t>
            </w:r>
          </w:p>
        </w:tc>
      </w:tr>
      <w:tr w:rsidR="006F6D07" w:rsidTr="000F53B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  <w:r w:rsidRPr="00297860">
              <w:rPr>
                <w:rFonts w:eastAsia="Yu Mincho"/>
              </w:rPr>
              <w:tab/>
              <w:t xml:space="preserve"> </w:t>
            </w:r>
            <w:r w:rsidRPr="00297860">
              <w:rPr>
                <w:rFonts w:eastAsia="Yu Mincho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  <w:r w:rsidRPr="00297860">
              <w:rPr>
                <w:rFonts w:eastAsia="Yu Mincho"/>
              </w:rPr>
              <w:t xml:space="preserve">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D07" w:rsidRPr="00297860" w:rsidRDefault="006F6D07" w:rsidP="000F53B4">
            <w:pPr>
              <w:rPr>
                <w:rFonts w:eastAsia="Yu Mincho"/>
              </w:rPr>
            </w:pPr>
          </w:p>
        </w:tc>
      </w:tr>
    </w:tbl>
    <w:p w:rsidR="006F6D07" w:rsidRDefault="006F6D07" w:rsidP="006F6D07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16"/>
          <w:szCs w:val="16"/>
          <w:lang w:val="en" w:eastAsia="en-GB"/>
        </w:rPr>
      </w:pPr>
      <w:r>
        <w:rPr>
          <w:rFonts w:ascii="Verdana" w:eastAsia="Times New Roman" w:hAnsi="Verdana" w:cs="Arial"/>
          <w:b/>
          <w:bCs/>
          <w:color w:val="222222"/>
          <w:sz w:val="16"/>
          <w:szCs w:val="16"/>
          <w:lang w:val="en" w:eastAsia="en-GB"/>
        </w:rPr>
        <w:t>Key responsibilities:</w:t>
      </w:r>
    </w:p>
    <w:p w:rsidR="00C54DBD" w:rsidRPr="00567598" w:rsidRDefault="00C54DBD" w:rsidP="00C54DBD">
      <w:pPr>
        <w:spacing w:before="5"/>
        <w:rPr>
          <w:rFonts w:eastAsia="Arial" w:cstheme="minorHAnsi"/>
          <w:b/>
          <w:bCs/>
        </w:rPr>
      </w:pPr>
    </w:p>
    <w:p w:rsidR="00C54DBD" w:rsidRPr="00567598" w:rsidRDefault="00C54DBD" w:rsidP="00C54DBD">
      <w:pPr>
        <w:spacing w:before="12"/>
        <w:rPr>
          <w:rFonts w:eastAsia="Calibri" w:cstheme="minorHAnsi"/>
        </w:rPr>
      </w:pPr>
    </w:p>
    <w:p w:rsidR="00C54DBD" w:rsidRPr="003F2F78" w:rsidRDefault="00C54DBD" w:rsidP="003F2F78">
      <w:pPr>
        <w:pStyle w:val="Heading1"/>
        <w:tabs>
          <w:tab w:val="left" w:pos="7290"/>
        </w:tabs>
        <w:spacing w:line="292" w:lineRule="exact"/>
        <w:ind w:right="545"/>
        <w:rPr>
          <w:rFonts w:asciiTheme="minorHAnsi" w:hAnsiTheme="minorHAnsi" w:cstheme="minorHAnsi"/>
          <w:sz w:val="22"/>
          <w:szCs w:val="22"/>
        </w:rPr>
      </w:pPr>
      <w:r w:rsidRPr="00567598">
        <w:rPr>
          <w:rFonts w:asciiTheme="minorHAnsi" w:hAnsiTheme="minorHAnsi" w:cstheme="minorHAnsi"/>
          <w:sz w:val="22"/>
          <w:szCs w:val="22"/>
        </w:rPr>
        <w:t>Leadership and</w:t>
      </w:r>
      <w:r w:rsidRPr="0056759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67598">
        <w:rPr>
          <w:rFonts w:asciiTheme="minorHAnsi" w:hAnsiTheme="minorHAnsi" w:cstheme="minorHAnsi"/>
          <w:sz w:val="22"/>
          <w:szCs w:val="22"/>
        </w:rPr>
        <w:t>Management</w:t>
      </w:r>
      <w:r w:rsidRPr="00567598">
        <w:rPr>
          <w:rFonts w:asciiTheme="minorHAnsi" w:hAnsiTheme="minorHAnsi" w:cstheme="minorHAnsi"/>
          <w:sz w:val="22"/>
          <w:szCs w:val="22"/>
        </w:rPr>
        <w:tab/>
      </w:r>
    </w:p>
    <w:p w:rsidR="00BF1DBA" w:rsidRPr="00567598" w:rsidRDefault="00C54DBD" w:rsidP="00C54DBD">
      <w:pPr>
        <w:widowControl/>
        <w:numPr>
          <w:ilvl w:val="0"/>
          <w:numId w:val="1"/>
        </w:numPr>
        <w:tabs>
          <w:tab w:val="left" w:pos="841"/>
        </w:tabs>
        <w:spacing w:after="200" w:line="242" w:lineRule="auto"/>
        <w:ind w:right="545"/>
        <w:contextualSpacing/>
        <w:rPr>
          <w:rFonts w:eastAsia="Calibri" w:cstheme="minorHAnsi"/>
        </w:rPr>
      </w:pPr>
      <w:r w:rsidRPr="00567598">
        <w:rPr>
          <w:rFonts w:cstheme="minorHAnsi"/>
        </w:rPr>
        <w:t>To substitute for the Head of Department when necessary</w:t>
      </w:r>
      <w:r w:rsidR="00112918">
        <w:rPr>
          <w:rFonts w:cstheme="minorHAnsi"/>
        </w:rPr>
        <w:t>.</w:t>
      </w:r>
    </w:p>
    <w:p w:rsidR="00112918" w:rsidRPr="00112918" w:rsidRDefault="00567598" w:rsidP="00780F1F">
      <w:pPr>
        <w:widowControl/>
        <w:numPr>
          <w:ilvl w:val="0"/>
          <w:numId w:val="1"/>
        </w:numPr>
        <w:spacing w:after="200" w:line="242" w:lineRule="auto"/>
        <w:ind w:left="839" w:right="544" w:hanging="357"/>
        <w:contextualSpacing/>
        <w:rPr>
          <w:rFonts w:eastAsia="Calibri" w:cstheme="minorHAnsi"/>
        </w:rPr>
      </w:pPr>
      <w:r w:rsidRPr="00567598">
        <w:t xml:space="preserve">To assist in the line management of Learning Support Assistants and timetabling as and when necessary. </w:t>
      </w:r>
    </w:p>
    <w:p w:rsidR="00780F1F" w:rsidRDefault="00C54DBD" w:rsidP="00CF752F">
      <w:pPr>
        <w:widowControl/>
        <w:numPr>
          <w:ilvl w:val="0"/>
          <w:numId w:val="1"/>
        </w:numPr>
        <w:tabs>
          <w:tab w:val="left" w:pos="841"/>
        </w:tabs>
        <w:spacing w:after="200" w:line="242" w:lineRule="auto"/>
        <w:ind w:right="545"/>
        <w:contextualSpacing/>
        <w:rPr>
          <w:rFonts w:eastAsia="Calibri" w:cstheme="minorHAnsi"/>
        </w:rPr>
      </w:pPr>
      <w:r w:rsidRPr="00780F1F">
        <w:rPr>
          <w:rFonts w:eastAsia="Calibri" w:cstheme="minorHAnsi"/>
        </w:rPr>
        <w:t>To oversee support timetables – supporting with the daily management of timetables and stepping into write the daily timetable if those responsible including the SENCO are absent</w:t>
      </w:r>
      <w:r w:rsidR="00112918" w:rsidRPr="00780F1F">
        <w:rPr>
          <w:rFonts w:eastAsia="Calibri" w:cstheme="minorHAnsi"/>
        </w:rPr>
        <w:t>.</w:t>
      </w:r>
    </w:p>
    <w:p w:rsidR="00780F1F" w:rsidRDefault="00C54DBD" w:rsidP="00780F1F">
      <w:pPr>
        <w:widowControl/>
        <w:numPr>
          <w:ilvl w:val="0"/>
          <w:numId w:val="1"/>
        </w:numPr>
        <w:tabs>
          <w:tab w:val="left" w:pos="841"/>
        </w:tabs>
        <w:spacing w:before="1" w:after="200" w:line="242" w:lineRule="auto"/>
        <w:ind w:right="545"/>
        <w:contextualSpacing/>
        <w:rPr>
          <w:rFonts w:eastAsia="Calibri" w:cstheme="minorHAnsi"/>
        </w:rPr>
      </w:pPr>
      <w:r w:rsidRPr="00780F1F">
        <w:rPr>
          <w:rFonts w:eastAsia="Calibri" w:cstheme="minorHAnsi"/>
        </w:rPr>
        <w:t>Supporting the da</w:t>
      </w:r>
      <w:r w:rsidR="00CF752F" w:rsidRPr="00780F1F">
        <w:rPr>
          <w:rFonts w:eastAsia="Calibri" w:cstheme="minorHAnsi"/>
        </w:rPr>
        <w:t>y to day</w:t>
      </w:r>
      <w:r w:rsidRPr="00780F1F">
        <w:rPr>
          <w:rFonts w:eastAsia="Calibri" w:cstheme="minorHAnsi"/>
        </w:rPr>
        <w:t xml:space="preserve"> running of the department</w:t>
      </w:r>
      <w:r w:rsidR="00CF752F" w:rsidRPr="00780F1F">
        <w:rPr>
          <w:rFonts w:eastAsia="Calibri" w:cstheme="minorHAnsi"/>
        </w:rPr>
        <w:t xml:space="preserve">. </w:t>
      </w:r>
    </w:p>
    <w:p w:rsidR="00780F1F" w:rsidRDefault="00C54DBD" w:rsidP="00780F1F">
      <w:pPr>
        <w:widowControl/>
        <w:numPr>
          <w:ilvl w:val="0"/>
          <w:numId w:val="3"/>
        </w:numPr>
        <w:tabs>
          <w:tab w:val="left" w:pos="841"/>
        </w:tabs>
        <w:spacing w:before="1" w:after="200" w:line="242" w:lineRule="auto"/>
        <w:ind w:right="545"/>
        <w:contextualSpacing/>
        <w:rPr>
          <w:rFonts w:eastAsia="Calibri" w:cstheme="minorHAnsi"/>
        </w:rPr>
      </w:pPr>
      <w:r w:rsidRPr="00780F1F">
        <w:rPr>
          <w:rFonts w:eastAsia="Calibri" w:cstheme="minorHAnsi"/>
        </w:rPr>
        <w:t xml:space="preserve">To arrange annual review meetings and contribute to annual review paperwork </w:t>
      </w:r>
    </w:p>
    <w:p w:rsidR="00DD3032" w:rsidRDefault="00C54DBD" w:rsidP="00780F1F">
      <w:pPr>
        <w:widowControl/>
        <w:numPr>
          <w:ilvl w:val="0"/>
          <w:numId w:val="3"/>
        </w:numPr>
        <w:tabs>
          <w:tab w:val="left" w:pos="841"/>
        </w:tabs>
        <w:spacing w:before="1" w:after="200" w:line="242" w:lineRule="auto"/>
        <w:ind w:left="839" w:right="544" w:hanging="357"/>
        <w:contextualSpacing/>
        <w:rPr>
          <w:rFonts w:eastAsia="Calibri" w:cstheme="minorHAnsi"/>
        </w:rPr>
      </w:pPr>
      <w:r w:rsidRPr="00DD3032">
        <w:rPr>
          <w:rFonts w:eastAsia="Calibri" w:cstheme="minorHAnsi"/>
        </w:rPr>
        <w:t xml:space="preserve">To share </w:t>
      </w:r>
      <w:r w:rsidR="00567598" w:rsidRPr="00DD3032">
        <w:rPr>
          <w:rFonts w:eastAsia="Calibri" w:cstheme="minorHAnsi"/>
        </w:rPr>
        <w:t xml:space="preserve">SEND </w:t>
      </w:r>
      <w:r w:rsidRPr="00DD3032">
        <w:rPr>
          <w:rFonts w:eastAsia="Calibri" w:cstheme="minorHAnsi"/>
        </w:rPr>
        <w:t xml:space="preserve">information with the team and wider school to </w:t>
      </w:r>
      <w:proofErr w:type="spellStart"/>
      <w:r w:rsidRPr="00DD3032">
        <w:rPr>
          <w:rFonts w:eastAsia="Calibri" w:cstheme="minorHAnsi"/>
        </w:rPr>
        <w:t>maximise</w:t>
      </w:r>
      <w:proofErr w:type="spellEnd"/>
      <w:r w:rsidRPr="00DD3032">
        <w:rPr>
          <w:rFonts w:eastAsia="Calibri" w:cstheme="minorHAnsi"/>
        </w:rPr>
        <w:t xml:space="preserve"> inclusion</w:t>
      </w:r>
      <w:r w:rsidR="00DD3032" w:rsidRPr="00DD3032">
        <w:rPr>
          <w:rFonts w:eastAsia="Calibri" w:cstheme="minorHAnsi"/>
        </w:rPr>
        <w:t>.</w:t>
      </w:r>
    </w:p>
    <w:p w:rsidR="00DD3032" w:rsidRDefault="00C54DBD" w:rsidP="00DD3032">
      <w:pPr>
        <w:widowControl/>
        <w:numPr>
          <w:ilvl w:val="0"/>
          <w:numId w:val="1"/>
        </w:numPr>
        <w:tabs>
          <w:tab w:val="left" w:pos="841"/>
        </w:tabs>
        <w:spacing w:before="1" w:after="200" w:line="242" w:lineRule="auto"/>
        <w:ind w:right="545" w:hanging="357"/>
        <w:contextualSpacing/>
        <w:rPr>
          <w:rFonts w:eastAsia="Calibri" w:cstheme="minorHAnsi"/>
        </w:rPr>
      </w:pPr>
      <w:r w:rsidRPr="00DD3032">
        <w:rPr>
          <w:rFonts w:eastAsia="Calibri" w:cstheme="minorHAnsi"/>
        </w:rPr>
        <w:t xml:space="preserve">To work with the REACH Coordinator in supporting students in REACH sharing student information, updating staff on any progress/issues and discussing curriculum </w:t>
      </w:r>
    </w:p>
    <w:p w:rsidR="00DD3032" w:rsidRDefault="00C54DBD" w:rsidP="00DD3032">
      <w:pPr>
        <w:widowControl/>
        <w:numPr>
          <w:ilvl w:val="0"/>
          <w:numId w:val="1"/>
        </w:numPr>
        <w:tabs>
          <w:tab w:val="left" w:pos="841"/>
        </w:tabs>
        <w:spacing w:before="1" w:after="200" w:line="242" w:lineRule="auto"/>
        <w:ind w:right="545" w:hanging="357"/>
        <w:contextualSpacing/>
        <w:rPr>
          <w:rFonts w:eastAsia="Calibri" w:cstheme="minorHAnsi"/>
        </w:rPr>
      </w:pPr>
      <w:r w:rsidRPr="00DD3032">
        <w:rPr>
          <w:rFonts w:eastAsia="Calibri" w:cstheme="minorHAnsi"/>
        </w:rPr>
        <w:t>To plan and run interventions for individual/groups of students within SEN</w:t>
      </w:r>
      <w:r w:rsidR="00CF752F" w:rsidRPr="00DD3032">
        <w:rPr>
          <w:rFonts w:eastAsia="Calibri" w:cstheme="minorHAnsi"/>
        </w:rPr>
        <w:t>D</w:t>
      </w:r>
      <w:r w:rsidRPr="00DD3032">
        <w:rPr>
          <w:rFonts w:eastAsia="Calibri" w:cstheme="minorHAnsi"/>
        </w:rPr>
        <w:t xml:space="preserve"> including</w:t>
      </w:r>
      <w:r w:rsidR="00CF752F" w:rsidRPr="00DD3032">
        <w:rPr>
          <w:rFonts w:eastAsia="Calibri" w:cstheme="minorHAnsi"/>
        </w:rPr>
        <w:t xml:space="preserve"> but not exclusively</w:t>
      </w:r>
      <w:r w:rsidRPr="00DD3032">
        <w:rPr>
          <w:rFonts w:eastAsia="Calibri" w:cstheme="minorHAnsi"/>
        </w:rPr>
        <w:t xml:space="preserve"> REACH, Year 7 Transition and bespoke intervention as and when necessary</w:t>
      </w:r>
    </w:p>
    <w:p w:rsidR="00780F1F" w:rsidRPr="00DD3032" w:rsidRDefault="00C54DBD" w:rsidP="00DD3032">
      <w:pPr>
        <w:widowControl/>
        <w:numPr>
          <w:ilvl w:val="0"/>
          <w:numId w:val="1"/>
        </w:numPr>
        <w:tabs>
          <w:tab w:val="left" w:pos="841"/>
        </w:tabs>
        <w:spacing w:before="1" w:after="200" w:line="242" w:lineRule="auto"/>
        <w:ind w:right="545" w:hanging="357"/>
        <w:contextualSpacing/>
        <w:rPr>
          <w:rFonts w:eastAsia="Calibri" w:cstheme="minorHAnsi"/>
        </w:rPr>
      </w:pPr>
      <w:r w:rsidRPr="00DD3032">
        <w:rPr>
          <w:rFonts w:eastAsia="Calibri" w:cstheme="minorHAnsi"/>
        </w:rPr>
        <w:t>To support with the transition of Year 6 students.</w:t>
      </w:r>
    </w:p>
    <w:p w:rsidR="00C54DBD" w:rsidRPr="00567598" w:rsidRDefault="00C54DBD" w:rsidP="00DD3032">
      <w:pPr>
        <w:pStyle w:val="ListParagraph"/>
        <w:numPr>
          <w:ilvl w:val="0"/>
          <w:numId w:val="1"/>
        </w:numPr>
        <w:tabs>
          <w:tab w:val="left" w:pos="841"/>
        </w:tabs>
        <w:spacing w:before="1" w:line="242" w:lineRule="auto"/>
        <w:ind w:right="545" w:hanging="357"/>
        <w:contextualSpacing/>
        <w:rPr>
          <w:rFonts w:eastAsia="Calibri" w:cstheme="minorHAnsi"/>
        </w:rPr>
      </w:pPr>
      <w:r w:rsidRPr="00567598">
        <w:rPr>
          <w:rFonts w:cstheme="minorHAnsi"/>
        </w:rPr>
        <w:t>To assist the SENCO in:</w:t>
      </w:r>
    </w:p>
    <w:p w:rsidR="00C54DBD" w:rsidRPr="00567598" w:rsidRDefault="00C54DBD" w:rsidP="00DD3032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545" w:hanging="357"/>
        <w:contextualSpacing/>
        <w:rPr>
          <w:rFonts w:eastAsia="Calibri" w:cstheme="minorHAnsi"/>
        </w:rPr>
      </w:pPr>
      <w:r w:rsidRPr="00567598">
        <w:rPr>
          <w:rFonts w:cstheme="minorHAnsi"/>
        </w:rPr>
        <w:t xml:space="preserve">raising the profile of </w:t>
      </w:r>
      <w:r w:rsidR="00567598" w:rsidRPr="00567598">
        <w:rPr>
          <w:rFonts w:cstheme="minorHAnsi"/>
        </w:rPr>
        <w:t xml:space="preserve">SEND </w:t>
      </w:r>
      <w:r w:rsidRPr="00567598">
        <w:rPr>
          <w:rFonts w:cstheme="minorHAnsi"/>
        </w:rPr>
        <w:t>across the whole school, engendering an ethos</w:t>
      </w:r>
      <w:r w:rsidRPr="00567598">
        <w:rPr>
          <w:rFonts w:cstheme="minorHAnsi"/>
          <w:spacing w:val="-28"/>
        </w:rPr>
        <w:t xml:space="preserve"> </w:t>
      </w:r>
      <w:r w:rsidRPr="00567598">
        <w:rPr>
          <w:rFonts w:cstheme="minorHAnsi"/>
        </w:rPr>
        <w:t>of achievement and</w:t>
      </w:r>
      <w:r w:rsidRPr="00567598">
        <w:rPr>
          <w:rFonts w:cstheme="minorHAnsi"/>
          <w:spacing w:val="-1"/>
        </w:rPr>
        <w:t xml:space="preserve"> </w:t>
      </w:r>
      <w:r w:rsidR="00CF752F" w:rsidRPr="00567598">
        <w:rPr>
          <w:rFonts w:cstheme="minorHAnsi"/>
        </w:rPr>
        <w:t>i</w:t>
      </w:r>
      <w:r w:rsidRPr="00567598">
        <w:rPr>
          <w:rFonts w:cstheme="minorHAnsi"/>
        </w:rPr>
        <w:t>nclusion.</w:t>
      </w:r>
    </w:p>
    <w:p w:rsidR="00C54DBD" w:rsidRPr="00567598" w:rsidRDefault="00C54DBD" w:rsidP="00DD3032">
      <w:pPr>
        <w:pStyle w:val="ListParagraph"/>
        <w:numPr>
          <w:ilvl w:val="1"/>
          <w:numId w:val="1"/>
        </w:numPr>
        <w:tabs>
          <w:tab w:val="left" w:pos="841"/>
        </w:tabs>
        <w:spacing w:before="4" w:line="292" w:lineRule="exact"/>
        <w:ind w:right="690" w:hanging="357"/>
        <w:contextualSpacing/>
        <w:rPr>
          <w:rFonts w:eastAsia="Calibri" w:cstheme="minorHAnsi"/>
        </w:rPr>
      </w:pPr>
      <w:r w:rsidRPr="00567598">
        <w:rPr>
          <w:rFonts w:cstheme="minorHAnsi"/>
        </w:rPr>
        <w:t>Ensuring that the school SEND register is up to date and all stakeholders are</w:t>
      </w:r>
      <w:r w:rsidRPr="00567598">
        <w:rPr>
          <w:rFonts w:cstheme="minorHAnsi"/>
          <w:spacing w:val="-25"/>
        </w:rPr>
        <w:t xml:space="preserve"> </w:t>
      </w:r>
      <w:r w:rsidRPr="00567598">
        <w:rPr>
          <w:rFonts w:cstheme="minorHAnsi"/>
        </w:rPr>
        <w:t>fully informed about support/interventions in</w:t>
      </w:r>
      <w:r w:rsidRPr="00567598">
        <w:rPr>
          <w:rFonts w:cstheme="minorHAnsi"/>
          <w:spacing w:val="-9"/>
        </w:rPr>
        <w:t xml:space="preserve"> </w:t>
      </w:r>
      <w:r w:rsidRPr="00567598">
        <w:rPr>
          <w:rFonts w:cstheme="minorHAnsi"/>
        </w:rPr>
        <w:t>place/planned.</w:t>
      </w:r>
    </w:p>
    <w:p w:rsidR="00C54DBD" w:rsidRPr="00567598" w:rsidRDefault="00C54DBD" w:rsidP="00C54DBD">
      <w:pPr>
        <w:pStyle w:val="ListParagraph"/>
        <w:numPr>
          <w:ilvl w:val="1"/>
          <w:numId w:val="1"/>
        </w:numPr>
        <w:tabs>
          <w:tab w:val="left" w:pos="841"/>
        </w:tabs>
        <w:spacing w:before="5" w:line="242" w:lineRule="auto"/>
        <w:ind w:right="371"/>
        <w:contextualSpacing/>
        <w:rPr>
          <w:rFonts w:eastAsia="Calibri" w:cstheme="minorHAnsi"/>
        </w:rPr>
      </w:pPr>
      <w:r w:rsidRPr="00567598">
        <w:rPr>
          <w:rFonts w:cstheme="minorHAnsi"/>
        </w:rPr>
        <w:t>Ensuring IEPs are monitored regularly.</w:t>
      </w:r>
    </w:p>
    <w:p w:rsidR="00C54DBD" w:rsidRPr="00567598" w:rsidRDefault="00C54DBD" w:rsidP="00C54DBD">
      <w:pPr>
        <w:pStyle w:val="ListParagraph"/>
        <w:numPr>
          <w:ilvl w:val="1"/>
          <w:numId w:val="1"/>
        </w:numPr>
        <w:tabs>
          <w:tab w:val="left" w:pos="841"/>
        </w:tabs>
        <w:spacing w:before="5" w:line="242" w:lineRule="auto"/>
        <w:ind w:right="371"/>
        <w:contextualSpacing/>
        <w:rPr>
          <w:rFonts w:eastAsia="Calibri" w:cstheme="minorHAnsi"/>
        </w:rPr>
      </w:pPr>
      <w:r w:rsidRPr="00567598">
        <w:rPr>
          <w:rFonts w:cstheme="minorHAnsi"/>
        </w:rPr>
        <w:t xml:space="preserve">Support in the identification of students </w:t>
      </w:r>
      <w:r w:rsidR="00CF752F" w:rsidRPr="00567598">
        <w:rPr>
          <w:rFonts w:cstheme="minorHAnsi"/>
        </w:rPr>
        <w:t xml:space="preserve">with </w:t>
      </w:r>
      <w:r w:rsidR="00567598" w:rsidRPr="00567598">
        <w:rPr>
          <w:rFonts w:cstheme="minorHAnsi"/>
        </w:rPr>
        <w:t xml:space="preserve">SEND </w:t>
      </w:r>
      <w:r w:rsidR="00CF752F" w:rsidRPr="00567598">
        <w:rPr>
          <w:rFonts w:cstheme="minorHAnsi"/>
        </w:rPr>
        <w:t>needs</w:t>
      </w:r>
      <w:r w:rsidRPr="00567598">
        <w:rPr>
          <w:rFonts w:cstheme="minorHAnsi"/>
        </w:rPr>
        <w:t xml:space="preserve"> and where appropriate, provide evidence of need</w:t>
      </w:r>
    </w:p>
    <w:p w:rsidR="00C54DBD" w:rsidRPr="00567598" w:rsidRDefault="00C54DBD" w:rsidP="00C54DBD">
      <w:pPr>
        <w:pStyle w:val="ListParagraph"/>
        <w:numPr>
          <w:ilvl w:val="1"/>
          <w:numId w:val="1"/>
        </w:numPr>
        <w:tabs>
          <w:tab w:val="left" w:pos="841"/>
        </w:tabs>
        <w:spacing w:before="5" w:line="242" w:lineRule="auto"/>
        <w:ind w:right="621"/>
        <w:contextualSpacing/>
        <w:rPr>
          <w:rFonts w:eastAsia="Calibri" w:cstheme="minorHAnsi"/>
        </w:rPr>
      </w:pPr>
      <w:r w:rsidRPr="00567598">
        <w:rPr>
          <w:rFonts w:cstheme="minorHAnsi"/>
        </w:rPr>
        <w:t xml:space="preserve">In liaising, coordinating </w:t>
      </w:r>
      <w:r w:rsidR="00CF752F" w:rsidRPr="00567598">
        <w:rPr>
          <w:rFonts w:cstheme="minorHAnsi"/>
        </w:rPr>
        <w:t>with</w:t>
      </w:r>
      <w:r w:rsidRPr="00567598">
        <w:rPr>
          <w:rFonts w:cstheme="minorHAnsi"/>
        </w:rPr>
        <w:t xml:space="preserve"> external agencies</w:t>
      </w:r>
      <w:r w:rsidR="00CF752F" w:rsidRPr="00567598">
        <w:rPr>
          <w:rFonts w:cstheme="minorHAnsi"/>
        </w:rPr>
        <w:t xml:space="preserve"> where necessary</w:t>
      </w:r>
    </w:p>
    <w:p w:rsidR="00C54DBD" w:rsidRDefault="00C54DBD" w:rsidP="00C54DBD">
      <w:pPr>
        <w:pStyle w:val="ListParagraph"/>
        <w:numPr>
          <w:ilvl w:val="1"/>
          <w:numId w:val="1"/>
        </w:numPr>
        <w:tabs>
          <w:tab w:val="left" w:pos="841"/>
        </w:tabs>
        <w:spacing w:before="5" w:line="242" w:lineRule="auto"/>
        <w:ind w:right="621"/>
        <w:contextualSpacing/>
        <w:rPr>
          <w:rFonts w:eastAsia="Calibri" w:cstheme="minorHAnsi"/>
        </w:rPr>
      </w:pPr>
      <w:r w:rsidRPr="00567598">
        <w:rPr>
          <w:rFonts w:eastAsia="Calibri" w:cstheme="minorHAnsi"/>
        </w:rPr>
        <w:t xml:space="preserve">Organizing the orders for the department.  </w:t>
      </w:r>
    </w:p>
    <w:p w:rsidR="00112918" w:rsidRDefault="00112918" w:rsidP="00112918">
      <w:pPr>
        <w:tabs>
          <w:tab w:val="left" w:pos="841"/>
        </w:tabs>
        <w:spacing w:before="5" w:line="242" w:lineRule="auto"/>
        <w:ind w:right="621"/>
        <w:contextualSpacing/>
        <w:rPr>
          <w:rFonts w:eastAsia="Calibri" w:cstheme="minorHAnsi"/>
        </w:rPr>
      </w:pPr>
    </w:p>
    <w:p w:rsidR="00112918" w:rsidRDefault="00112918" w:rsidP="00112918">
      <w:pPr>
        <w:tabs>
          <w:tab w:val="left" w:pos="841"/>
        </w:tabs>
        <w:spacing w:before="5" w:line="242" w:lineRule="auto"/>
        <w:ind w:right="621"/>
        <w:contextualSpacing/>
        <w:rPr>
          <w:rFonts w:eastAsia="Calibri" w:cstheme="minorHAnsi"/>
        </w:rPr>
      </w:pPr>
    </w:p>
    <w:p w:rsidR="00112918" w:rsidRDefault="00112918" w:rsidP="00112918">
      <w:pPr>
        <w:tabs>
          <w:tab w:val="left" w:pos="841"/>
        </w:tabs>
        <w:spacing w:before="5" w:line="242" w:lineRule="auto"/>
        <w:ind w:right="621"/>
        <w:contextualSpacing/>
        <w:rPr>
          <w:rFonts w:eastAsia="Calibri" w:cstheme="minorHAnsi"/>
        </w:rPr>
      </w:pPr>
    </w:p>
    <w:p w:rsidR="003F2F78" w:rsidRPr="00112918" w:rsidRDefault="003F2F78" w:rsidP="00112918">
      <w:pPr>
        <w:tabs>
          <w:tab w:val="left" w:pos="841"/>
        </w:tabs>
        <w:spacing w:before="5" w:line="242" w:lineRule="auto"/>
        <w:ind w:right="621"/>
        <w:contextualSpacing/>
        <w:rPr>
          <w:rFonts w:eastAsia="Calibri" w:cstheme="minorHAnsi"/>
        </w:rPr>
      </w:pPr>
    </w:p>
    <w:p w:rsidR="00CF752F" w:rsidRPr="00567598" w:rsidRDefault="00CF752F" w:rsidP="00CF752F">
      <w:pPr>
        <w:tabs>
          <w:tab w:val="left" w:pos="841"/>
        </w:tabs>
        <w:spacing w:before="5" w:line="242" w:lineRule="auto"/>
        <w:ind w:right="621"/>
        <w:contextualSpacing/>
        <w:rPr>
          <w:rFonts w:eastAsia="Calibri" w:cstheme="minorHAnsi"/>
        </w:rPr>
      </w:pPr>
    </w:p>
    <w:p w:rsidR="00C54DBD" w:rsidRPr="00567598" w:rsidRDefault="00C54DBD" w:rsidP="00C54DBD">
      <w:pPr>
        <w:pStyle w:val="Heading1"/>
        <w:spacing w:before="38" w:line="293" w:lineRule="exact"/>
        <w:ind w:right="545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67598">
        <w:rPr>
          <w:rFonts w:asciiTheme="minorHAnsi" w:hAnsiTheme="minorHAnsi" w:cstheme="minorHAnsi"/>
          <w:sz w:val="22"/>
          <w:szCs w:val="22"/>
        </w:rPr>
        <w:t>Teaching and</w:t>
      </w:r>
      <w:r w:rsidRPr="0056759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67598">
        <w:rPr>
          <w:rFonts w:asciiTheme="minorHAnsi" w:hAnsiTheme="minorHAnsi" w:cstheme="minorHAnsi"/>
          <w:sz w:val="22"/>
          <w:szCs w:val="22"/>
        </w:rPr>
        <w:t>learning</w:t>
      </w:r>
    </w:p>
    <w:p w:rsidR="00567598" w:rsidRPr="00780F1F" w:rsidRDefault="00C54DBD" w:rsidP="00780F1F">
      <w:pPr>
        <w:pStyle w:val="ListParagraph"/>
        <w:numPr>
          <w:ilvl w:val="0"/>
          <w:numId w:val="1"/>
        </w:numPr>
        <w:tabs>
          <w:tab w:val="left" w:pos="841"/>
        </w:tabs>
        <w:ind w:right="531"/>
        <w:contextualSpacing/>
        <w:rPr>
          <w:rFonts w:cstheme="minorHAnsi"/>
        </w:rPr>
      </w:pPr>
      <w:r w:rsidRPr="00567598">
        <w:rPr>
          <w:rFonts w:cstheme="minorHAnsi"/>
        </w:rPr>
        <w:lastRenderedPageBreak/>
        <w:t xml:space="preserve">To plan, run and track the effectiveness of interventions that support the emotional and social development of </w:t>
      </w:r>
      <w:r w:rsidR="00567598" w:rsidRPr="00567598">
        <w:rPr>
          <w:rFonts w:cstheme="minorHAnsi"/>
        </w:rPr>
        <w:t xml:space="preserve">SEND </w:t>
      </w:r>
      <w:r w:rsidRPr="00567598">
        <w:rPr>
          <w:rFonts w:cstheme="minorHAnsi"/>
        </w:rPr>
        <w:t>students</w:t>
      </w:r>
      <w:r w:rsidR="00567598">
        <w:rPr>
          <w:rFonts w:cstheme="minorHAnsi"/>
        </w:rPr>
        <w:t>.</w:t>
      </w:r>
    </w:p>
    <w:p w:rsidR="00567598" w:rsidRPr="00780F1F" w:rsidRDefault="00C54DBD" w:rsidP="00780F1F">
      <w:pPr>
        <w:pStyle w:val="ListParagraph"/>
        <w:numPr>
          <w:ilvl w:val="0"/>
          <w:numId w:val="1"/>
        </w:numPr>
        <w:tabs>
          <w:tab w:val="left" w:pos="841"/>
        </w:tabs>
        <w:ind w:right="531"/>
        <w:contextualSpacing/>
        <w:rPr>
          <w:rFonts w:cstheme="minorHAnsi"/>
        </w:rPr>
      </w:pPr>
      <w:r w:rsidRPr="00567598">
        <w:rPr>
          <w:rFonts w:cstheme="minorHAnsi"/>
        </w:rPr>
        <w:t>To run interventions</w:t>
      </w:r>
      <w:r w:rsidR="00CF752F" w:rsidRPr="00567598">
        <w:rPr>
          <w:rFonts w:cstheme="minorHAnsi"/>
        </w:rPr>
        <w:t xml:space="preserve"> and support </w:t>
      </w:r>
      <w:r w:rsidRPr="00567598">
        <w:rPr>
          <w:rFonts w:cstheme="minorHAnsi"/>
        </w:rPr>
        <w:t>students through transition points including Year 6, end of KS3, KS4 and KS5</w:t>
      </w:r>
      <w:r w:rsidR="00CF752F" w:rsidRPr="00567598">
        <w:rPr>
          <w:rFonts w:cstheme="minorHAnsi"/>
        </w:rPr>
        <w:t>. This could include liaising with other schools and colleges</w:t>
      </w:r>
      <w:r w:rsidR="00567598">
        <w:rPr>
          <w:rFonts w:cstheme="minorHAnsi"/>
        </w:rPr>
        <w:t xml:space="preserve">. </w:t>
      </w:r>
    </w:p>
    <w:p w:rsidR="00567598" w:rsidRPr="00567598" w:rsidRDefault="00CF752F" w:rsidP="00567598">
      <w:pPr>
        <w:widowControl/>
        <w:numPr>
          <w:ilvl w:val="0"/>
          <w:numId w:val="1"/>
        </w:numPr>
        <w:tabs>
          <w:tab w:val="left" w:pos="841"/>
        </w:tabs>
        <w:spacing w:after="200" w:line="276" w:lineRule="auto"/>
        <w:ind w:right="531"/>
        <w:contextualSpacing/>
      </w:pPr>
      <w:r w:rsidRPr="00567598">
        <w:rPr>
          <w:rFonts w:cstheme="minorHAnsi"/>
        </w:rPr>
        <w:t xml:space="preserve">To assist the Head of Department in monitoring and evaluating the standards of teaching and learning for SEND students for example </w:t>
      </w:r>
      <w:proofErr w:type="spellStart"/>
      <w:r w:rsidRPr="00567598">
        <w:rPr>
          <w:rFonts w:cstheme="minorHAnsi"/>
        </w:rPr>
        <w:t>analysing</w:t>
      </w:r>
      <w:proofErr w:type="spellEnd"/>
      <w:r w:rsidRPr="00567598">
        <w:rPr>
          <w:rFonts w:cstheme="minorHAnsi"/>
        </w:rPr>
        <w:t xml:space="preserve"> pupil data, gathering information about students of concern (i.e. round robins), book looks, Hendon 12 and learning walks.</w:t>
      </w:r>
    </w:p>
    <w:p w:rsidR="00567598" w:rsidRPr="00567598" w:rsidRDefault="00567598" w:rsidP="00780F1F">
      <w:pPr>
        <w:widowControl/>
        <w:numPr>
          <w:ilvl w:val="0"/>
          <w:numId w:val="1"/>
        </w:numPr>
        <w:tabs>
          <w:tab w:val="left" w:pos="841"/>
        </w:tabs>
        <w:spacing w:after="200" w:line="276" w:lineRule="auto"/>
        <w:ind w:left="839" w:right="533" w:hanging="357"/>
        <w:contextualSpacing/>
      </w:pPr>
      <w:r w:rsidRPr="00567598">
        <w:t>To assist the Head of Department in the creation, consistent implementation and improvement of schemes of work, intervention resources and assessment materials which encapsulate key school teaching and learning strategies.</w:t>
      </w:r>
    </w:p>
    <w:p w:rsidR="00780F1F" w:rsidRDefault="00C54DBD" w:rsidP="00780F1F">
      <w:pPr>
        <w:widowControl/>
        <w:numPr>
          <w:ilvl w:val="0"/>
          <w:numId w:val="1"/>
        </w:numPr>
        <w:tabs>
          <w:tab w:val="left" w:pos="841"/>
        </w:tabs>
        <w:spacing w:after="200" w:line="276" w:lineRule="auto"/>
        <w:ind w:left="839" w:right="533" w:hanging="357"/>
        <w:contextualSpacing/>
        <w:rPr>
          <w:rFonts w:cstheme="minorHAnsi"/>
        </w:rPr>
      </w:pPr>
      <w:r w:rsidRPr="00780F1F">
        <w:rPr>
          <w:rFonts w:cstheme="minorHAnsi"/>
        </w:rPr>
        <w:t>Identify and adopt the most effective teaching approaches for pupils</w:t>
      </w:r>
      <w:r w:rsidRPr="00780F1F">
        <w:rPr>
          <w:rFonts w:cstheme="minorHAnsi"/>
          <w:spacing w:val="-32"/>
        </w:rPr>
        <w:t xml:space="preserve"> </w:t>
      </w:r>
      <w:r w:rsidRPr="00780F1F">
        <w:rPr>
          <w:rFonts w:cstheme="minorHAnsi"/>
        </w:rPr>
        <w:t xml:space="preserve">with </w:t>
      </w:r>
      <w:r w:rsidR="00567598" w:rsidRPr="00780F1F">
        <w:rPr>
          <w:rFonts w:cstheme="minorHAnsi"/>
        </w:rPr>
        <w:t xml:space="preserve">SEND </w:t>
      </w:r>
      <w:r w:rsidRPr="00780F1F">
        <w:rPr>
          <w:rFonts w:cstheme="minorHAnsi"/>
        </w:rPr>
        <w:t>and share approach with</w:t>
      </w:r>
      <w:r w:rsidRPr="00780F1F">
        <w:rPr>
          <w:rFonts w:cstheme="minorHAnsi"/>
          <w:spacing w:val="-4"/>
        </w:rPr>
        <w:t xml:space="preserve"> </w:t>
      </w:r>
      <w:r w:rsidRPr="00780F1F">
        <w:rPr>
          <w:rFonts w:cstheme="minorHAnsi"/>
        </w:rPr>
        <w:t>colleagues.</w:t>
      </w:r>
    </w:p>
    <w:p w:rsidR="00780F1F" w:rsidRPr="00780F1F" w:rsidRDefault="00C54DBD" w:rsidP="00780F1F">
      <w:pPr>
        <w:widowControl/>
        <w:numPr>
          <w:ilvl w:val="0"/>
          <w:numId w:val="1"/>
        </w:numPr>
        <w:tabs>
          <w:tab w:val="left" w:pos="841"/>
        </w:tabs>
        <w:spacing w:after="200" w:line="276" w:lineRule="auto"/>
        <w:ind w:left="839" w:right="533" w:hanging="357"/>
        <w:contextualSpacing/>
        <w:rPr>
          <w:rFonts w:cstheme="minorHAnsi"/>
        </w:rPr>
      </w:pPr>
      <w:r w:rsidRPr="00780F1F">
        <w:rPr>
          <w:rFonts w:cstheme="minorHAnsi"/>
        </w:rPr>
        <w:t xml:space="preserve">Covering lessons in SEND when staff are away. </w:t>
      </w:r>
    </w:p>
    <w:p w:rsidR="00567598" w:rsidRPr="00567598" w:rsidRDefault="00567598" w:rsidP="00567598">
      <w:pPr>
        <w:widowControl/>
        <w:numPr>
          <w:ilvl w:val="0"/>
          <w:numId w:val="1"/>
        </w:numPr>
        <w:spacing w:after="200" w:line="276" w:lineRule="auto"/>
        <w:contextualSpacing/>
      </w:pPr>
      <w:r w:rsidRPr="00567598">
        <w:t xml:space="preserve">To contribute to establishing strategies for maintaining effective </w:t>
      </w:r>
      <w:r w:rsidR="00112918" w:rsidRPr="00567598">
        <w:t>behavio</w:t>
      </w:r>
      <w:r w:rsidR="00112918">
        <w:t>u</w:t>
      </w:r>
      <w:r w:rsidR="00112918" w:rsidRPr="00567598">
        <w:t>r</w:t>
      </w:r>
      <w:r w:rsidRPr="00567598">
        <w:t xml:space="preserve"> </w:t>
      </w:r>
      <w:r w:rsidR="00112918" w:rsidRPr="00567598">
        <w:t>management</w:t>
      </w:r>
      <w:r w:rsidRPr="00567598">
        <w:t xml:space="preserve"> within the department, dealing with referrals in accordance with academy policy. </w:t>
      </w:r>
    </w:p>
    <w:p w:rsidR="00C54DBD" w:rsidRPr="00567598" w:rsidRDefault="00C54DBD" w:rsidP="00C54DBD">
      <w:pPr>
        <w:spacing w:before="9"/>
        <w:contextualSpacing/>
        <w:rPr>
          <w:rFonts w:eastAsia="Calibri" w:cstheme="minorHAnsi"/>
        </w:rPr>
      </w:pPr>
    </w:p>
    <w:p w:rsidR="00780F1F" w:rsidRPr="003F2F78" w:rsidRDefault="00C54DBD" w:rsidP="003F2F78">
      <w:pPr>
        <w:pStyle w:val="Heading1"/>
        <w:spacing w:line="292" w:lineRule="exact"/>
        <w:ind w:right="545"/>
        <w:contextualSpacing/>
        <w:rPr>
          <w:rFonts w:asciiTheme="minorHAnsi" w:hAnsiTheme="minorHAnsi" w:cstheme="minorHAnsi"/>
          <w:sz w:val="22"/>
          <w:szCs w:val="22"/>
        </w:rPr>
      </w:pPr>
      <w:r w:rsidRPr="00567598">
        <w:rPr>
          <w:rFonts w:asciiTheme="minorHAnsi" w:hAnsiTheme="minorHAnsi" w:cstheme="minorHAnsi"/>
          <w:sz w:val="22"/>
          <w:szCs w:val="22"/>
        </w:rPr>
        <w:t>Recording, assessment and student outcomes</w:t>
      </w:r>
    </w:p>
    <w:p w:rsidR="00CF752F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191"/>
        <w:contextualSpacing/>
        <w:rPr>
          <w:rFonts w:eastAsia="Calibri" w:cstheme="minorHAnsi"/>
        </w:rPr>
      </w:pPr>
      <w:r w:rsidRPr="00567598">
        <w:rPr>
          <w:rFonts w:cstheme="minorHAnsi"/>
        </w:rPr>
        <w:t>To support the SENCO in ensuring that robust tracking systems are in place</w:t>
      </w:r>
    </w:p>
    <w:p w:rsidR="00C54DBD" w:rsidRPr="00567598" w:rsidRDefault="00CF752F" w:rsidP="00C54DBD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191"/>
        <w:contextualSpacing/>
        <w:rPr>
          <w:rFonts w:eastAsia="Calibri" w:cstheme="minorHAnsi"/>
        </w:rPr>
      </w:pPr>
      <w:r w:rsidRPr="00567598">
        <w:rPr>
          <w:rFonts w:cstheme="minorHAnsi"/>
        </w:rPr>
        <w:t>T</w:t>
      </w:r>
      <w:r w:rsidR="00C54DBD" w:rsidRPr="00567598">
        <w:rPr>
          <w:rFonts w:cstheme="minorHAnsi"/>
        </w:rPr>
        <w:t>o</w:t>
      </w:r>
      <w:r w:rsidRPr="00567598">
        <w:rPr>
          <w:rFonts w:cstheme="minorHAnsi"/>
        </w:rPr>
        <w:t xml:space="preserve"> support with the</w:t>
      </w:r>
      <w:r w:rsidR="00C54DBD" w:rsidRPr="00567598">
        <w:rPr>
          <w:rFonts w:cstheme="minorHAnsi"/>
        </w:rPr>
        <w:t xml:space="preserve"> collect</w:t>
      </w:r>
      <w:r w:rsidR="00567598" w:rsidRPr="00567598">
        <w:rPr>
          <w:rFonts w:cstheme="minorHAnsi"/>
        </w:rPr>
        <w:t>ion</w:t>
      </w:r>
      <w:r w:rsidR="00C54DBD" w:rsidRPr="00567598">
        <w:rPr>
          <w:rFonts w:cstheme="minorHAnsi"/>
        </w:rPr>
        <w:t xml:space="preserve"> and </w:t>
      </w:r>
      <w:r w:rsidR="00567598" w:rsidRPr="00567598">
        <w:rPr>
          <w:rFonts w:cstheme="minorHAnsi"/>
        </w:rPr>
        <w:t>interpretation of</w:t>
      </w:r>
      <w:r w:rsidR="00C54DBD" w:rsidRPr="00567598">
        <w:rPr>
          <w:rFonts w:cstheme="minorHAnsi"/>
          <w:spacing w:val="-24"/>
        </w:rPr>
        <w:t xml:space="preserve"> </w:t>
      </w:r>
      <w:r w:rsidR="00C54DBD" w:rsidRPr="00567598">
        <w:rPr>
          <w:rFonts w:cstheme="minorHAnsi"/>
        </w:rPr>
        <w:t xml:space="preserve">specific student assessment data </w:t>
      </w:r>
      <w:r w:rsidR="00567598" w:rsidRPr="00567598">
        <w:rPr>
          <w:rFonts w:cstheme="minorHAnsi"/>
        </w:rPr>
        <w:t>to assess the effectiveness of quality</w:t>
      </w:r>
      <w:r w:rsidR="00C54DBD" w:rsidRPr="00567598">
        <w:rPr>
          <w:rFonts w:cstheme="minorHAnsi"/>
        </w:rPr>
        <w:t xml:space="preserve"> first teaching and intervention</w:t>
      </w:r>
      <w:r w:rsidR="00C54DBD" w:rsidRPr="00567598">
        <w:rPr>
          <w:rFonts w:cstheme="minorHAnsi"/>
          <w:spacing w:val="-3"/>
        </w:rPr>
        <w:t xml:space="preserve"> </w:t>
      </w:r>
      <w:r w:rsidR="00C54DBD" w:rsidRPr="00567598">
        <w:rPr>
          <w:rFonts w:cstheme="minorHAnsi"/>
        </w:rPr>
        <w:t>strategies</w:t>
      </w:r>
      <w:r w:rsidR="00567598" w:rsidRPr="00567598">
        <w:rPr>
          <w:rFonts w:cstheme="minorHAnsi"/>
        </w:rPr>
        <w:t xml:space="preserve"> for SEND students</w:t>
      </w:r>
      <w:r w:rsidR="00C54DBD" w:rsidRPr="00567598">
        <w:rPr>
          <w:rFonts w:cstheme="minorHAnsi"/>
        </w:rPr>
        <w:t>.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ind w:right="741"/>
        <w:contextualSpacing/>
        <w:rPr>
          <w:rFonts w:eastAsia="Calibri" w:cstheme="minorHAnsi"/>
        </w:rPr>
      </w:pPr>
      <w:r w:rsidRPr="00567598">
        <w:rPr>
          <w:rFonts w:cstheme="minorHAnsi"/>
        </w:rPr>
        <w:t>Work with colleagues to set challenging targets for raising</w:t>
      </w:r>
      <w:r w:rsidRPr="00567598">
        <w:rPr>
          <w:rFonts w:cstheme="minorHAnsi"/>
          <w:spacing w:val="-25"/>
        </w:rPr>
        <w:t xml:space="preserve"> </w:t>
      </w:r>
      <w:r w:rsidRPr="00567598">
        <w:rPr>
          <w:rFonts w:cstheme="minorHAnsi"/>
        </w:rPr>
        <w:t>achievement</w:t>
      </w:r>
      <w:r w:rsidRPr="00567598">
        <w:rPr>
          <w:rFonts w:cstheme="minorHAnsi"/>
          <w:w w:val="99"/>
        </w:rPr>
        <w:t xml:space="preserve"> </w:t>
      </w:r>
      <w:r w:rsidRPr="00567598">
        <w:rPr>
          <w:rFonts w:cstheme="minorHAnsi"/>
        </w:rPr>
        <w:t>among pupils with</w:t>
      </w:r>
      <w:r w:rsidRPr="00567598">
        <w:rPr>
          <w:rFonts w:cstheme="minorHAnsi"/>
          <w:spacing w:val="-2"/>
        </w:rPr>
        <w:t xml:space="preserve"> </w:t>
      </w:r>
      <w:r w:rsidRPr="00567598">
        <w:rPr>
          <w:rFonts w:cstheme="minorHAnsi"/>
        </w:rPr>
        <w:t>SEND.</w:t>
      </w:r>
    </w:p>
    <w:p w:rsidR="00C54DBD" w:rsidRPr="00567598" w:rsidRDefault="00C54DBD" w:rsidP="00C54DBD">
      <w:pPr>
        <w:spacing w:before="9"/>
        <w:contextualSpacing/>
        <w:rPr>
          <w:rFonts w:eastAsia="Calibri" w:cstheme="minorHAnsi"/>
        </w:rPr>
      </w:pPr>
    </w:p>
    <w:p w:rsidR="00C54DBD" w:rsidRPr="00567598" w:rsidRDefault="00C54DBD" w:rsidP="00C54DBD">
      <w:pPr>
        <w:pStyle w:val="Heading1"/>
        <w:spacing w:line="292" w:lineRule="exact"/>
        <w:ind w:right="545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67598">
        <w:rPr>
          <w:rFonts w:asciiTheme="minorHAnsi" w:hAnsiTheme="minorHAnsi" w:cstheme="minorHAnsi"/>
          <w:sz w:val="22"/>
          <w:szCs w:val="22"/>
        </w:rPr>
        <w:t>Standards and quality</w:t>
      </w:r>
      <w:r w:rsidRPr="0056759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67598">
        <w:rPr>
          <w:rFonts w:asciiTheme="minorHAnsi" w:hAnsiTheme="minorHAnsi" w:cstheme="minorHAnsi"/>
          <w:sz w:val="22"/>
          <w:szCs w:val="22"/>
        </w:rPr>
        <w:t>assurance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line="305" w:lineRule="exact"/>
        <w:ind w:right="545"/>
        <w:contextualSpacing/>
        <w:rPr>
          <w:rFonts w:eastAsia="Calibri" w:cstheme="minorHAnsi"/>
        </w:rPr>
      </w:pPr>
      <w:r w:rsidRPr="00567598">
        <w:rPr>
          <w:rFonts w:cstheme="minorHAnsi"/>
        </w:rPr>
        <w:t>Support the aims and ethos of the</w:t>
      </w:r>
      <w:r w:rsidRPr="00567598">
        <w:rPr>
          <w:rFonts w:cstheme="minorHAnsi"/>
          <w:spacing w:val="-4"/>
        </w:rPr>
        <w:t xml:space="preserve"> </w:t>
      </w:r>
      <w:r w:rsidRPr="00567598">
        <w:rPr>
          <w:rFonts w:cstheme="minorHAnsi"/>
        </w:rPr>
        <w:t>school.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line="305" w:lineRule="exact"/>
        <w:ind w:right="545"/>
        <w:contextualSpacing/>
        <w:rPr>
          <w:rFonts w:eastAsia="Calibri" w:cstheme="minorHAnsi"/>
        </w:rPr>
      </w:pPr>
      <w:r w:rsidRPr="00567598">
        <w:rPr>
          <w:rFonts w:cstheme="minorHAnsi"/>
        </w:rPr>
        <w:t>Promote the Hendon School values as presented in our code of</w:t>
      </w:r>
      <w:r w:rsidRPr="00567598">
        <w:rPr>
          <w:rFonts w:cstheme="minorHAnsi"/>
          <w:spacing w:val="-14"/>
        </w:rPr>
        <w:t xml:space="preserve"> </w:t>
      </w:r>
      <w:r w:rsidRPr="00567598">
        <w:rPr>
          <w:rFonts w:cstheme="minorHAnsi"/>
        </w:rPr>
        <w:t>conduct.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before="1" w:line="305" w:lineRule="exact"/>
        <w:ind w:right="545"/>
        <w:contextualSpacing/>
        <w:rPr>
          <w:rFonts w:eastAsia="Calibri" w:cstheme="minorHAnsi"/>
        </w:rPr>
      </w:pPr>
      <w:r w:rsidRPr="00567598">
        <w:rPr>
          <w:rFonts w:eastAsia="Calibri" w:cstheme="minorHAnsi"/>
        </w:rPr>
        <w:t>Uphold the school’s behaviour code and uniform</w:t>
      </w:r>
      <w:r w:rsidRPr="00567598">
        <w:rPr>
          <w:rFonts w:eastAsia="Calibri" w:cstheme="minorHAnsi"/>
          <w:spacing w:val="-5"/>
        </w:rPr>
        <w:t xml:space="preserve"> </w:t>
      </w:r>
      <w:r w:rsidRPr="00567598">
        <w:rPr>
          <w:rFonts w:eastAsia="Calibri" w:cstheme="minorHAnsi"/>
        </w:rPr>
        <w:t>regulations.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line="305" w:lineRule="exact"/>
        <w:ind w:right="545"/>
        <w:contextualSpacing/>
        <w:rPr>
          <w:rFonts w:eastAsia="Calibri" w:cstheme="minorHAnsi"/>
        </w:rPr>
      </w:pPr>
      <w:r w:rsidRPr="00567598">
        <w:rPr>
          <w:rFonts w:cstheme="minorHAnsi"/>
        </w:rPr>
        <w:t>Develop positive links with neighboring schools, external</w:t>
      </w:r>
      <w:r w:rsidRPr="00567598">
        <w:rPr>
          <w:rFonts w:cstheme="minorHAnsi"/>
          <w:spacing w:val="-14"/>
        </w:rPr>
        <w:t xml:space="preserve"> </w:t>
      </w:r>
      <w:r w:rsidRPr="00567598">
        <w:rPr>
          <w:rFonts w:cstheme="minorHAnsi"/>
        </w:rPr>
        <w:t>agencies and parents.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line="305" w:lineRule="exact"/>
        <w:ind w:right="545"/>
        <w:contextualSpacing/>
        <w:rPr>
          <w:rFonts w:eastAsia="Calibri" w:cstheme="minorHAnsi"/>
        </w:rPr>
      </w:pPr>
      <w:r w:rsidRPr="00567598">
        <w:rPr>
          <w:rFonts w:cstheme="minorHAnsi"/>
        </w:rPr>
        <w:t>Attend staff</w:t>
      </w:r>
      <w:r w:rsidRPr="00567598">
        <w:rPr>
          <w:rFonts w:cstheme="minorHAnsi"/>
          <w:spacing w:val="1"/>
        </w:rPr>
        <w:t xml:space="preserve"> </w:t>
      </w:r>
      <w:r w:rsidRPr="00567598">
        <w:rPr>
          <w:rFonts w:cstheme="minorHAnsi"/>
        </w:rPr>
        <w:t>meetings and CPD.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line="305" w:lineRule="exact"/>
        <w:ind w:right="545"/>
        <w:contextualSpacing/>
        <w:rPr>
          <w:rFonts w:eastAsia="Calibri" w:cstheme="minorHAnsi"/>
        </w:rPr>
      </w:pPr>
      <w:r w:rsidRPr="00567598">
        <w:rPr>
          <w:rFonts w:cstheme="minorHAnsi"/>
        </w:rPr>
        <w:t>Set a good example in terms of dress, punctuality and</w:t>
      </w:r>
      <w:r w:rsidRPr="00567598">
        <w:rPr>
          <w:rFonts w:cstheme="minorHAnsi"/>
          <w:spacing w:val="-15"/>
        </w:rPr>
        <w:t xml:space="preserve"> </w:t>
      </w:r>
      <w:r w:rsidRPr="00567598">
        <w:rPr>
          <w:rFonts w:cstheme="minorHAnsi"/>
        </w:rPr>
        <w:t>attendance.</w:t>
      </w:r>
    </w:p>
    <w:p w:rsidR="00C54DBD" w:rsidRPr="00567598" w:rsidRDefault="00C54DBD" w:rsidP="00C54DBD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33"/>
        <w:contextualSpacing/>
        <w:rPr>
          <w:rFonts w:eastAsia="Calibri" w:cstheme="minorHAnsi"/>
        </w:rPr>
      </w:pPr>
      <w:r w:rsidRPr="00567598">
        <w:rPr>
          <w:rFonts w:cstheme="minorHAnsi"/>
        </w:rPr>
        <w:t>Attend and participate in open evenings and student performances and</w:t>
      </w:r>
      <w:r w:rsidRPr="00567598">
        <w:rPr>
          <w:rFonts w:cstheme="minorHAnsi"/>
          <w:spacing w:val="-26"/>
        </w:rPr>
        <w:t xml:space="preserve"> </w:t>
      </w:r>
      <w:r w:rsidRPr="00567598">
        <w:rPr>
          <w:rFonts w:cstheme="minorHAnsi"/>
        </w:rPr>
        <w:t>other</w:t>
      </w:r>
      <w:r w:rsidRPr="00567598">
        <w:rPr>
          <w:rFonts w:cstheme="minorHAnsi"/>
          <w:w w:val="99"/>
        </w:rPr>
        <w:t xml:space="preserve"> </w:t>
      </w:r>
      <w:r w:rsidRPr="00567598">
        <w:rPr>
          <w:rFonts w:cstheme="minorHAnsi"/>
        </w:rPr>
        <w:t>events.</w:t>
      </w:r>
    </w:p>
    <w:p w:rsidR="00C54DBD" w:rsidRPr="00567598" w:rsidRDefault="00C54DBD" w:rsidP="00C54DBD">
      <w:pPr>
        <w:tabs>
          <w:tab w:val="left" w:pos="841"/>
        </w:tabs>
        <w:spacing w:line="305" w:lineRule="exact"/>
        <w:ind w:right="545"/>
        <w:rPr>
          <w:rFonts w:eastAsia="Calibri" w:cstheme="minorHAnsi"/>
        </w:rPr>
      </w:pPr>
    </w:p>
    <w:p w:rsidR="001B11F7" w:rsidRPr="00567598" w:rsidRDefault="001B11F7">
      <w:pPr>
        <w:rPr>
          <w:rFonts w:cstheme="minorHAnsi"/>
        </w:rPr>
      </w:pPr>
    </w:p>
    <w:sectPr w:rsidR="001B11F7" w:rsidRPr="00567598">
      <w:pgSz w:w="11900" w:h="1685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98" w:rsidRDefault="00567598" w:rsidP="008B4CE8">
      <w:r>
        <w:separator/>
      </w:r>
    </w:p>
  </w:endnote>
  <w:endnote w:type="continuationSeparator" w:id="0">
    <w:p w:rsidR="00567598" w:rsidRDefault="00567598" w:rsidP="008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98" w:rsidRDefault="00567598" w:rsidP="008B4CE8">
      <w:r>
        <w:separator/>
      </w:r>
    </w:p>
  </w:footnote>
  <w:footnote w:type="continuationSeparator" w:id="0">
    <w:p w:rsidR="00567598" w:rsidRDefault="00567598" w:rsidP="008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F18"/>
    <w:multiLevelType w:val="hybridMultilevel"/>
    <w:tmpl w:val="7F242564"/>
    <w:lvl w:ilvl="0" w:tplc="8D4E815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943F9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D88E818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338852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068EC288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829AB4A2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5BD0A150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F4842C52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C080A388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1" w15:restartNumberingAfterBreak="0">
    <w:nsid w:val="55695807"/>
    <w:multiLevelType w:val="hybridMultilevel"/>
    <w:tmpl w:val="B05069AE"/>
    <w:lvl w:ilvl="0" w:tplc="14DCBB9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943F9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D88E818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338852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068EC288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829AB4A2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5BD0A150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F4842C52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C080A388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2" w15:restartNumberingAfterBreak="0">
    <w:nsid w:val="75A9150B"/>
    <w:multiLevelType w:val="hybridMultilevel"/>
    <w:tmpl w:val="2160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BD"/>
    <w:rsid w:val="000C551F"/>
    <w:rsid w:val="00112918"/>
    <w:rsid w:val="00117C1A"/>
    <w:rsid w:val="001B11F7"/>
    <w:rsid w:val="003F2F78"/>
    <w:rsid w:val="004C7690"/>
    <w:rsid w:val="00567598"/>
    <w:rsid w:val="006F6D07"/>
    <w:rsid w:val="00780F1F"/>
    <w:rsid w:val="008B4A8A"/>
    <w:rsid w:val="008B4CE8"/>
    <w:rsid w:val="00BF1DBA"/>
    <w:rsid w:val="00C54DBD"/>
    <w:rsid w:val="00CF752F"/>
    <w:rsid w:val="00D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870EC"/>
  <w15:chartTrackingRefBased/>
  <w15:docId w15:val="{0CE513A5-2DD7-473D-ACE4-6C0BE10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4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C54DBD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DBD"/>
    <w:rPr>
      <w:rFonts w:ascii="Calibri" w:eastAsia="Calibri" w:hAnsi="Calibri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C54DBD"/>
  </w:style>
  <w:style w:type="character" w:styleId="CommentReference">
    <w:name w:val="annotation reference"/>
    <w:basedOn w:val="DefaultParagraphFont"/>
    <w:uiPriority w:val="99"/>
    <w:semiHidden/>
    <w:unhideWhenUsed/>
    <w:rsid w:val="00C5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BD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BD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4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E8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4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CE8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Pirillas</dc:creator>
  <cp:keywords/>
  <dc:description/>
  <cp:lastModifiedBy>Jacqueline Opara</cp:lastModifiedBy>
  <cp:revision>2</cp:revision>
  <dcterms:created xsi:type="dcterms:W3CDTF">2022-09-02T12:12:00Z</dcterms:created>
  <dcterms:modified xsi:type="dcterms:W3CDTF">2022-09-02T12:12:00Z</dcterms:modified>
</cp:coreProperties>
</file>